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2A3A20">
        <w:tc>
          <w:tcPr>
            <w:tcW w:w="13523" w:type="dxa"/>
            <w:gridSpan w:val="8"/>
          </w:tcPr>
          <w:p w14:paraId="2985FF7D" w14:textId="77777777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8240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54B0F5-5C46-41DA-82B4-D90F9FFE99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2A3A20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2A3A20">
        <w:tc>
          <w:tcPr>
            <w:tcW w:w="13523" w:type="dxa"/>
            <w:gridSpan w:val="8"/>
          </w:tcPr>
          <w:p w14:paraId="607A06DD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2A3A20">
        <w:tc>
          <w:tcPr>
            <w:tcW w:w="1555" w:type="dxa"/>
          </w:tcPr>
          <w:p w14:paraId="5BED5ABB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5370BC">
        <w:tc>
          <w:tcPr>
            <w:tcW w:w="1555" w:type="dxa"/>
          </w:tcPr>
          <w:p w14:paraId="0F6ED433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47C7A910" w:rsidR="00FA65BE" w:rsidRPr="008329A4" w:rsidRDefault="006F4BCE" w:rsidP="002A3A2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3</w:t>
            </w:r>
            <w:r w:rsidR="00FA65BE">
              <w:rPr>
                <w:rFonts w:ascii="Avenir Next LT Pro Light" w:hAnsi="Avenir Next LT Pro Light"/>
                <w:b/>
                <w:bCs/>
              </w:rPr>
              <w:t>./</w:t>
            </w:r>
            <w:r>
              <w:rPr>
                <w:rFonts w:ascii="Avenir Next LT Pro Light" w:hAnsi="Avenir Next LT Pro Light"/>
                <w:b/>
                <w:bCs/>
              </w:rPr>
              <w:t>4</w:t>
            </w:r>
            <w:r w:rsidR="00FA65BE">
              <w:rPr>
                <w:rFonts w:ascii="Avenir Next LT Pro Light" w:hAnsi="Avenir Next LT Pro Light"/>
                <w:b/>
                <w:bCs/>
              </w:rPr>
              <w:t xml:space="preserve">. </w:t>
            </w:r>
            <w:r w:rsidR="005370BC">
              <w:rPr>
                <w:rFonts w:ascii="Avenir Next LT Pro Light" w:hAnsi="Avenir Next LT Pro Light"/>
                <w:b/>
                <w:bCs/>
              </w:rPr>
              <w:t>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48C33E81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5C27A735" w:rsidR="00FA65BE" w:rsidRPr="008329A4" w:rsidRDefault="005370BC" w:rsidP="002A3A2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Vanessa Frefel</w:t>
            </w:r>
            <w:r w:rsidR="00FD6C1D">
              <w:rPr>
                <w:rFonts w:ascii="Avenir Next LT Pro Light" w:hAnsi="Avenir Next LT Pro Light"/>
                <w:b/>
                <w:bCs/>
              </w:rPr>
              <w:t xml:space="preserve"> (28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2A3A20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5A3AC6">
        <w:tc>
          <w:tcPr>
            <w:tcW w:w="1555" w:type="dxa"/>
          </w:tcPr>
          <w:p w14:paraId="201CB48E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36027E44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18B2D2A5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1F47B28D" w14:textId="444D28F9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1C997DF4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2A3A20">
        <w:tc>
          <w:tcPr>
            <w:tcW w:w="15388" w:type="dxa"/>
            <w:gridSpan w:val="9"/>
          </w:tcPr>
          <w:p w14:paraId="4D2D17A8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CE6046">
        <w:tc>
          <w:tcPr>
            <w:tcW w:w="1555" w:type="dxa"/>
          </w:tcPr>
          <w:p w14:paraId="283EB9F2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685E8C3C" w:rsidR="00FA65BE" w:rsidRPr="008329A4" w:rsidRDefault="006F4BCE" w:rsidP="002A3A2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B 1.</w:t>
            </w:r>
            <w:r w:rsidR="000C1D86">
              <w:rPr>
                <w:rFonts w:ascii="Avenir Next LT Pro Light" w:hAnsi="Avenir Next LT Pro Light"/>
                <w:b/>
                <w:bCs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8EBC8D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Fachlehrpersonen: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EE44004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78CEA4" w14:textId="5B05EE48" w:rsidR="00FA65BE" w:rsidRPr="008329A4" w:rsidRDefault="005370BC" w:rsidP="002A3A2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Anja Byron (TTG)</w:t>
            </w:r>
            <w:r w:rsidR="00FD6C1D">
              <w:rPr>
                <w:rFonts w:ascii="Avenir Next LT Pro Light" w:hAnsi="Avenir Next LT Pro Light"/>
                <w:b/>
                <w:bCs/>
              </w:rPr>
              <w:t xml:space="preserve"> (4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451ABDA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1C240965" w:rsidR="00FA65BE" w:rsidRPr="00D86465" w:rsidRDefault="00CE6046" w:rsidP="002A3A20">
            <w:pPr>
              <w:rPr>
                <w:rFonts w:ascii="Avenir Next LT Pro Light" w:hAnsi="Avenir Next LT Pro Light"/>
                <w:b/>
              </w:rPr>
            </w:pPr>
            <w:r w:rsidRPr="00D86465">
              <w:rPr>
                <w:rFonts w:ascii="Avenir Next LT Pro Light" w:hAnsi="Avenir Next LT Pro Light"/>
                <w:b/>
              </w:rPr>
              <w:t xml:space="preserve">Carmen </w:t>
            </w:r>
            <w:proofErr w:type="spellStart"/>
            <w:r w:rsidRPr="00D86465">
              <w:rPr>
                <w:rFonts w:ascii="Avenir Next LT Pro Light" w:hAnsi="Avenir Next LT Pro Light"/>
                <w:b/>
              </w:rPr>
              <w:t>Gysin</w:t>
            </w:r>
            <w:proofErr w:type="spellEnd"/>
          </w:p>
        </w:tc>
      </w:tr>
      <w:tr w:rsidR="00FA65BE" w14:paraId="5B1FBCC8" w14:textId="77777777" w:rsidTr="002A3A20">
        <w:tc>
          <w:tcPr>
            <w:tcW w:w="15388" w:type="dxa"/>
            <w:gridSpan w:val="9"/>
          </w:tcPr>
          <w:p w14:paraId="738F4A3B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CE6046">
        <w:tc>
          <w:tcPr>
            <w:tcW w:w="1555" w:type="dxa"/>
          </w:tcPr>
          <w:p w14:paraId="6B9A2E87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04F7C632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307B1779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D405658" w14:textId="044F70CD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55FAD3B3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64300164" w:rsidR="00FA65BE" w:rsidRPr="00D86465" w:rsidRDefault="00CE6046" w:rsidP="002A3A20">
            <w:pPr>
              <w:rPr>
                <w:rFonts w:ascii="Avenir Next LT Pro Light" w:hAnsi="Avenir Next LT Pro Light"/>
                <w:b/>
                <w:bCs/>
              </w:rPr>
            </w:pPr>
            <w:r w:rsidRPr="00D86465">
              <w:rPr>
                <w:rFonts w:ascii="Avenir Next LT Pro Light" w:hAnsi="Avenir Next LT Pro Light"/>
                <w:b/>
                <w:bCs/>
              </w:rPr>
              <w:t>Jörg François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2A3A20">
        <w:tc>
          <w:tcPr>
            <w:tcW w:w="15388" w:type="dxa"/>
            <w:gridSpan w:val="9"/>
          </w:tcPr>
          <w:p w14:paraId="7320C13D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5A3AC6">
        <w:tc>
          <w:tcPr>
            <w:tcW w:w="1555" w:type="dxa"/>
          </w:tcPr>
          <w:p w14:paraId="4B7C1815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E5BD623" w14:textId="02839AFD" w:rsidR="00FA65BE" w:rsidRPr="008329A4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 w:rsidP="002A3A2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 w:rsidP="002A3A20">
            <w:pPr>
              <w:rPr>
                <w:rFonts w:ascii="Avenir Next LT Pro Light" w:hAnsi="Avenir Next LT Pro Light"/>
              </w:rPr>
            </w:pPr>
          </w:p>
        </w:tc>
      </w:tr>
    </w:tbl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3084C65F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2A3A2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2A3A2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2A3A2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2A3A2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2A3A2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2A3A2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DA062C" w14:paraId="13B0D8D5" w14:textId="77777777" w:rsidTr="3084C65F">
        <w:tc>
          <w:tcPr>
            <w:tcW w:w="1397" w:type="dxa"/>
            <w:vMerge/>
            <w:vAlign w:val="center"/>
          </w:tcPr>
          <w:p w14:paraId="4DCA6662" w14:textId="77777777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07B585D5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6412074D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1684C2B7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61168CA9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784A421A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73C7C6A3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23A7184F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5D35098F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1A975160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0337DE2F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</w:tr>
      <w:tr w:rsidR="00FA65BE" w14:paraId="4B92B303" w14:textId="77777777" w:rsidTr="00933D10"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77777777" w:rsidR="00FA65BE" w:rsidRPr="0064463C" w:rsidRDefault="00FA65BE" w:rsidP="002A3A2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07:25 – 08:10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5EF5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1CADA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EFE29E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57D92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009999"/>
            <w:vAlign w:val="center"/>
          </w:tcPr>
          <w:p w14:paraId="623F3064" w14:textId="24B8DFFF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04AD0" w14:textId="6047FD8E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B2E947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C08DB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C9F04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6ECD0DAE" w14:textId="77777777" w:rsidR="00FA65BE" w:rsidRPr="00D833F5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D833F5" w14:paraId="575DEEFD" w14:textId="77777777" w:rsidTr="3084C65F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77777777" w:rsidR="00D833F5" w:rsidRPr="0064463C" w:rsidRDefault="00D833F5" w:rsidP="00D833F5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08:15 – 09:00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009999"/>
            <w:vAlign w:val="center"/>
          </w:tcPr>
          <w:p w14:paraId="1AD9152B" w14:textId="25BB6C09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150DD4F0" w14:textId="222C4AEC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66FFFF"/>
            <w:vAlign w:val="center"/>
          </w:tcPr>
          <w:p w14:paraId="4EAEA526" w14:textId="097CD56C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1D0271DB" w14:textId="1842F550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9999"/>
            <w:vAlign w:val="center"/>
          </w:tcPr>
          <w:p w14:paraId="01D6AA3E" w14:textId="5BC9ACAB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234DAB2C" w14:textId="62F1F536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9999"/>
            <w:vAlign w:val="center"/>
          </w:tcPr>
          <w:p w14:paraId="75AC75A0" w14:textId="7758F154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74296645" w14:textId="2A2F261E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9999"/>
            <w:vAlign w:val="center"/>
          </w:tcPr>
          <w:p w14:paraId="73455BAD" w14:textId="6DD61773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9999"/>
            <w:vAlign w:val="center"/>
          </w:tcPr>
          <w:p w14:paraId="46DAEA5E" w14:textId="494E8CB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CE6046" w14:paraId="19C4FBD0" w14:textId="77777777" w:rsidTr="3084C65F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CE6046" w:rsidRPr="0064463C" w:rsidRDefault="00CE6046" w:rsidP="00CE6046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009999"/>
            <w:vAlign w:val="center"/>
          </w:tcPr>
          <w:p w14:paraId="0C01C9E5" w14:textId="65791EB9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3BAB156E" w14:textId="729C7BAA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66FFFF"/>
            <w:vAlign w:val="center"/>
          </w:tcPr>
          <w:p w14:paraId="2D62027D" w14:textId="151433FA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240653F9" w14:textId="78412E80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9999"/>
            <w:vAlign w:val="center"/>
          </w:tcPr>
          <w:p w14:paraId="21D033C7" w14:textId="77A1ED8A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4B5F153C" w14:textId="1A22CFE1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9999"/>
            <w:vAlign w:val="center"/>
          </w:tcPr>
          <w:p w14:paraId="19BE84A1" w14:textId="448DB13F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3CF2C232" w14:textId="0AD594CF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9999"/>
            <w:vAlign w:val="center"/>
          </w:tcPr>
          <w:p w14:paraId="4810CA5C" w14:textId="3EBA7149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9999"/>
            <w:vAlign w:val="center"/>
          </w:tcPr>
          <w:p w14:paraId="47300F3A" w14:textId="1198DE2E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CE6046" w14:paraId="18E2C1B3" w14:textId="77777777" w:rsidTr="3084C65F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CE6046" w:rsidRPr="0064463C" w:rsidRDefault="00CE6046" w:rsidP="00CE6046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6F1858E0" w14:textId="30904A54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416737A" w14:textId="2A803429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3C58CA97" w14:textId="135DD2DA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66FFFF"/>
            <w:vAlign w:val="center"/>
          </w:tcPr>
          <w:p w14:paraId="3560D055" w14:textId="2981CF87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5E251FAC" w14:textId="116EB364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513CFEAC" w14:textId="5EE4ADA9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2C02E99F" w14:textId="05E71E4A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06C94A23" w14:textId="0E81B3F5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732DDE3A" w14:textId="20E184E3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41B35C25" w14:textId="06B3CBDD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D833F5" w14:paraId="0148ABF4" w14:textId="77777777" w:rsidTr="3084C65F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D833F5" w:rsidRPr="0064463C" w:rsidRDefault="00D833F5" w:rsidP="00D833F5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9999"/>
            <w:vAlign w:val="center"/>
          </w:tcPr>
          <w:p w14:paraId="47EEFD26" w14:textId="3AA09721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367267D5" w14:textId="3DD2AF85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9999"/>
            <w:vAlign w:val="center"/>
          </w:tcPr>
          <w:p w14:paraId="5E0625BA" w14:textId="56A455AF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double" w:sz="12" w:space="0" w:color="auto"/>
            </w:tcBorders>
            <w:shd w:val="clear" w:color="auto" w:fill="66FFFF"/>
            <w:vAlign w:val="center"/>
          </w:tcPr>
          <w:p w14:paraId="2CE2381F" w14:textId="74033466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9999"/>
            <w:vAlign w:val="center"/>
          </w:tcPr>
          <w:p w14:paraId="7D8FD825" w14:textId="797808A4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264104F" w14:textId="0CF07544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B0F0"/>
            <w:vAlign w:val="center"/>
          </w:tcPr>
          <w:p w14:paraId="23D26CC2" w14:textId="52E7DAB4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5AA321F2" w14:textId="23BE1916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9999"/>
            <w:vAlign w:val="center"/>
          </w:tcPr>
          <w:p w14:paraId="3F5A2817" w14:textId="7FCF6493" w:rsidR="00D833F5" w:rsidRPr="00D833F5" w:rsidRDefault="00D833F5" w:rsidP="36C0CEFC">
            <w:pPr>
              <w:jc w:val="center"/>
              <w:rPr>
                <w:rFonts w:ascii="Avenir Next LT Pro Light" w:hAnsi="Avenir Next LT Pro Light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009999"/>
            <w:vAlign w:val="center"/>
          </w:tcPr>
          <w:p w14:paraId="00C0D8C5" w14:textId="5252686B" w:rsidR="00D833F5" w:rsidRPr="00D833F5" w:rsidRDefault="00D833F5" w:rsidP="10A7EC0B">
            <w:pPr>
              <w:jc w:val="center"/>
              <w:rPr>
                <w:rFonts w:ascii="Avenir Next LT Pro Light" w:hAnsi="Avenir Next LT Pro Light"/>
                <w:sz w:val="14"/>
                <w:szCs w:val="14"/>
              </w:rPr>
            </w:pPr>
          </w:p>
        </w:tc>
      </w:tr>
      <w:tr w:rsidR="00CE6046" w14:paraId="37532E37" w14:textId="77777777" w:rsidTr="3084C65F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CE6046" w:rsidRPr="0064463C" w:rsidRDefault="00CE6046" w:rsidP="00CE6046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shd w:val="clear" w:color="auto" w:fill="009999"/>
            <w:vAlign w:val="center"/>
          </w:tcPr>
          <w:p w14:paraId="061D9873" w14:textId="3E7CA504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386E2036" w14:textId="4ED3639E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73D68670" w14:textId="442A9796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double" w:sz="12" w:space="0" w:color="auto"/>
            </w:tcBorders>
            <w:shd w:val="clear" w:color="auto" w:fill="00B0F0"/>
            <w:vAlign w:val="center"/>
          </w:tcPr>
          <w:p w14:paraId="07F07A31" w14:textId="31062D62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35A14CF3" w14:textId="1EA18416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0811E0DF" w14:textId="3554F1BF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30EC6F47" w14:textId="77777777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vAlign w:val="center"/>
          </w:tcPr>
          <w:p w14:paraId="7975CD55" w14:textId="77777777" w:rsidR="00CE6046" w:rsidRPr="00D833F5" w:rsidRDefault="00CE6046" w:rsidP="00CE604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D833F5" w14:paraId="2843FB16" w14:textId="77777777" w:rsidTr="3084C65F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20C309" w14:textId="77777777" w:rsidR="00D833F5" w:rsidRPr="0064463C" w:rsidRDefault="00D833F5" w:rsidP="00D833F5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CE6D596" w14:textId="44CBB84F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7E9CA07F" w14:textId="566A918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833F5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59C63381" w14:textId="16CAF73E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23B2B003" w14:textId="037BCA9D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91715E5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25AFAB83" w14:textId="3F188848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9999"/>
            <w:vAlign w:val="center"/>
          </w:tcPr>
          <w:p w14:paraId="5F5398B4" w14:textId="2B31022E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2516229C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D3A7FC1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D833F5" w14:paraId="1821B966" w14:textId="77777777" w:rsidTr="00933D10">
        <w:tc>
          <w:tcPr>
            <w:tcW w:w="139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044B04" w14:textId="77777777" w:rsidR="00D833F5" w:rsidRPr="0064463C" w:rsidRDefault="00D833F5" w:rsidP="00D833F5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BEB1FE" w14:textId="6C5F0500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3CBF3970" w14:textId="122D7841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F0B4134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D10E41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81CAD74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D833F5" w:rsidRPr="00D833F5" w:rsidRDefault="00D833F5" w:rsidP="00D833F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</w:tbl>
    <w:p w14:paraId="5F92C4B4" w14:textId="22823714" w:rsidR="00DA062C" w:rsidRPr="00C07654" w:rsidRDefault="00DA062C" w:rsidP="00DA062C">
      <w:pPr>
        <w:ind w:left="11328" w:firstLine="708"/>
        <w:rPr>
          <w:rFonts w:ascii="Avenir Next LT Pro Light" w:hAnsi="Avenir Next LT Pro Light"/>
          <w:sz w:val="10"/>
          <w:szCs w:val="10"/>
        </w:rPr>
      </w:pPr>
      <w:bookmarkStart w:id="0" w:name="_Hlk192598053"/>
      <w:r>
        <w:rPr>
          <w:rFonts w:ascii="Avenir Next LT Pro Light" w:hAnsi="Avenir Next LT Pro Light"/>
          <w:sz w:val="10"/>
          <w:szCs w:val="10"/>
        </w:rPr>
        <w:t xml:space="preserve">                      </w:t>
      </w:r>
      <w:r w:rsidRPr="00CE6046">
        <w:rPr>
          <w:rFonts w:ascii="Avenir Next LT Pro Light" w:hAnsi="Avenir Next LT Pro Light"/>
          <w:sz w:val="16"/>
          <w:szCs w:val="10"/>
        </w:rPr>
        <w:t xml:space="preserve">  *Schwimmen</w:t>
      </w:r>
    </w:p>
    <w:bookmarkEnd w:id="0"/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1" w:name="_GoBack"/>
      <w:bookmarkEnd w:id="1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0739D1"/>
    <w:rsid w:val="000C1D86"/>
    <w:rsid w:val="00254718"/>
    <w:rsid w:val="002A3A20"/>
    <w:rsid w:val="002F74D4"/>
    <w:rsid w:val="003C742A"/>
    <w:rsid w:val="00527E33"/>
    <w:rsid w:val="005370BC"/>
    <w:rsid w:val="005A3AC6"/>
    <w:rsid w:val="005E5C8B"/>
    <w:rsid w:val="006F4BCE"/>
    <w:rsid w:val="00776839"/>
    <w:rsid w:val="00913A99"/>
    <w:rsid w:val="00933D10"/>
    <w:rsid w:val="009D5D8C"/>
    <w:rsid w:val="00A42FEF"/>
    <w:rsid w:val="00AB2105"/>
    <w:rsid w:val="00CE6046"/>
    <w:rsid w:val="00CE6F6C"/>
    <w:rsid w:val="00D162BE"/>
    <w:rsid w:val="00D833F5"/>
    <w:rsid w:val="00D86465"/>
    <w:rsid w:val="00D93560"/>
    <w:rsid w:val="00DA062C"/>
    <w:rsid w:val="00DA118F"/>
    <w:rsid w:val="00E407AF"/>
    <w:rsid w:val="00F84833"/>
    <w:rsid w:val="00FA65BE"/>
    <w:rsid w:val="00FD6C1D"/>
    <w:rsid w:val="10A7EC0B"/>
    <w:rsid w:val="3084C65F"/>
    <w:rsid w:val="36C0CEFC"/>
    <w:rsid w:val="3CB448FD"/>
    <w:rsid w:val="644BD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1B64073A-FC31-4EF8-BA9B-5D8C442F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BBF7D-E2CA-4C8B-9D4F-5BC14B4BB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0B2FE-6C87-44FE-93F7-33D89F436657}"/>
</file>

<file path=customXml/itemProps3.xml><?xml version="1.0" encoding="utf-8"?>
<ds:datastoreItem xmlns:ds="http://schemas.openxmlformats.org/officeDocument/2006/customXml" ds:itemID="{57E54F03-2D82-4E0A-A793-1E8CEDFAD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21</cp:revision>
  <cp:lastPrinted>2025-05-12T08:22:00Z</cp:lastPrinted>
  <dcterms:created xsi:type="dcterms:W3CDTF">2025-03-11T13:47:00Z</dcterms:created>
  <dcterms:modified xsi:type="dcterms:W3CDTF">2025-06-17T09:20:00Z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